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84" w:rsidRPr="004C2B6A" w:rsidRDefault="00CA6350" w:rsidP="004D6584">
      <w:pPr>
        <w:pStyle w:val="Bezriadkovania"/>
        <w:jc w:val="center"/>
        <w:rPr>
          <w:rFonts w:ascii="Tahoma" w:hAnsi="Tahoma" w:cs="Tahoma"/>
          <w:b/>
          <w:noProof/>
          <w:sz w:val="16"/>
          <w:szCs w:val="16"/>
          <w:lang w:eastAsia="sk-SK"/>
        </w:rPr>
      </w:pPr>
      <w:bookmarkStart w:id="0" w:name="_GoBack"/>
      <w:bookmarkEnd w:id="0"/>
      <w:r w:rsidRPr="004C2B6A">
        <w:rPr>
          <w:rFonts w:ascii="Tahoma" w:hAnsi="Tahoma" w:cs="Tahoma"/>
          <w:b/>
          <w:noProof/>
          <w:sz w:val="16"/>
          <w:szCs w:val="16"/>
          <w:lang w:eastAsia="sk-SK"/>
        </w:rPr>
        <w:t xml:space="preserve">Na základe vyhlášky č. </w:t>
      </w:r>
      <w:r w:rsidR="000C33D0">
        <w:rPr>
          <w:rFonts w:ascii="Tahoma" w:hAnsi="Tahoma" w:cs="Tahoma"/>
          <w:b/>
          <w:noProof/>
          <w:sz w:val="16"/>
          <w:szCs w:val="16"/>
          <w:lang w:eastAsia="sk-SK"/>
        </w:rPr>
        <w:t>14</w:t>
      </w:r>
    </w:p>
    <w:p w:rsidR="004C2B6A" w:rsidRDefault="004D6584" w:rsidP="004D6584">
      <w:pPr>
        <w:pStyle w:val="Bezriadkovania"/>
        <w:jc w:val="both"/>
        <w:rPr>
          <w:rFonts w:ascii="Tahoma" w:hAnsi="Tahoma" w:cs="Tahoma"/>
          <w:sz w:val="16"/>
          <w:szCs w:val="16"/>
        </w:rPr>
      </w:pPr>
      <w:r w:rsidRPr="004C2B6A">
        <w:rPr>
          <w:rFonts w:ascii="Tahoma" w:hAnsi="Tahoma" w:cs="Tahoma"/>
          <w:sz w:val="16"/>
          <w:szCs w:val="16"/>
        </w:rPr>
        <w:t xml:space="preserve">Úradu verejného zdravotníctva Slovenskej republiky, ktorou sa nariaďujú opatrenia pri ohrození verejného zdravia k režimu vstupu osôb do priestorov prevádzok a priestorov zamestnávateľa </w:t>
      </w:r>
    </w:p>
    <w:p w:rsidR="00FC5368" w:rsidRDefault="00FC5368" w:rsidP="004D6584">
      <w:pPr>
        <w:pStyle w:val="Bezriadkovania"/>
        <w:jc w:val="both"/>
        <w:rPr>
          <w:rFonts w:ascii="Tahoma" w:hAnsi="Tahoma" w:cs="Tahoma"/>
          <w:sz w:val="16"/>
          <w:szCs w:val="16"/>
        </w:rPr>
      </w:pPr>
    </w:p>
    <w:p w:rsidR="00E109D7" w:rsidRPr="004C2B6A" w:rsidRDefault="00CA6350" w:rsidP="00CA6350">
      <w:pPr>
        <w:jc w:val="center"/>
        <w:rPr>
          <w:rFonts w:ascii="Tahoma" w:hAnsi="Tahoma" w:cs="Tahoma"/>
          <w:sz w:val="16"/>
          <w:szCs w:val="16"/>
        </w:rPr>
      </w:pPr>
      <w:r w:rsidRPr="004C2B6A">
        <w:rPr>
          <w:rFonts w:ascii="Tahoma" w:hAnsi="Tahoma" w:cs="Tahoma"/>
          <w:noProof/>
          <w:sz w:val="16"/>
          <w:szCs w:val="16"/>
          <w:lang w:eastAsia="sk-SK"/>
        </w:rPr>
        <w:drawing>
          <wp:inline distT="0" distB="0" distL="0" distR="0">
            <wp:extent cx="3450240" cy="2442625"/>
            <wp:effectExtent l="19050" t="0" r="0" b="0"/>
            <wp:docPr id="1" name="Obrázok 1" descr="Zákazy počas trvania prevencie proti vírusu COVID-19 . - Aktuality -  Kotrčiná Lú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azy počas trvania prevencie proti vírusu COVID-19 . - Aktuality -  Kotrčiná Lúč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478" cy="244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B2" w:rsidRPr="004A0630" w:rsidRDefault="005E4EB2" w:rsidP="005E4EB2">
      <w:pPr>
        <w:jc w:val="center"/>
        <w:rPr>
          <w:rFonts w:ascii="Tahoma" w:hAnsi="Tahoma" w:cs="Tahoma"/>
          <w:b/>
          <w:sz w:val="24"/>
          <w:szCs w:val="24"/>
        </w:rPr>
      </w:pPr>
      <w:r w:rsidRPr="004A0630">
        <w:rPr>
          <w:rFonts w:ascii="Tahoma" w:hAnsi="Tahoma" w:cs="Tahoma"/>
          <w:b/>
          <w:sz w:val="24"/>
          <w:szCs w:val="24"/>
        </w:rPr>
        <w:t>pre zamestnancov na pracoviská a do iných priestorov zamestnávateľa</w:t>
      </w:r>
    </w:p>
    <w:p w:rsidR="004D6584" w:rsidRPr="004C2B6A" w:rsidRDefault="004D6584" w:rsidP="004D6584">
      <w:pPr>
        <w:pStyle w:val="Bezriadkovania"/>
        <w:jc w:val="both"/>
        <w:rPr>
          <w:rFonts w:ascii="Tahoma" w:hAnsi="Tahoma" w:cs="Tahoma"/>
          <w:sz w:val="16"/>
          <w:szCs w:val="16"/>
        </w:rPr>
      </w:pPr>
      <w:r w:rsidRPr="004C2B6A">
        <w:rPr>
          <w:rFonts w:ascii="Tahoma" w:hAnsi="Tahoma" w:cs="Tahoma"/>
          <w:sz w:val="16"/>
          <w:szCs w:val="16"/>
        </w:rPr>
        <w:t xml:space="preserve">Podľa § 48 ods. 4 písm. s), x) a z) zákona sa </w:t>
      </w:r>
      <w:r w:rsidRPr="006F4E6F">
        <w:rPr>
          <w:rFonts w:ascii="Tahoma" w:hAnsi="Tahoma" w:cs="Tahoma"/>
          <w:b/>
          <w:sz w:val="16"/>
          <w:szCs w:val="16"/>
          <w:u w:val="single"/>
        </w:rPr>
        <w:t xml:space="preserve">v období od </w:t>
      </w:r>
      <w:r w:rsidR="000C33D0" w:rsidRPr="006F4E6F">
        <w:rPr>
          <w:rFonts w:ascii="Tahoma" w:hAnsi="Tahoma" w:cs="Tahoma"/>
          <w:b/>
          <w:sz w:val="16"/>
          <w:szCs w:val="16"/>
          <w:u w:val="single"/>
        </w:rPr>
        <w:t>27. januára 2021</w:t>
      </w:r>
      <w:r w:rsidRPr="006F4E6F">
        <w:rPr>
          <w:rFonts w:ascii="Tahoma" w:hAnsi="Tahoma" w:cs="Tahoma"/>
          <w:b/>
          <w:sz w:val="16"/>
          <w:szCs w:val="16"/>
          <w:u w:val="single"/>
        </w:rPr>
        <w:t xml:space="preserve"> 05:00 hod. do</w:t>
      </w:r>
      <w:r w:rsidR="000C33D0" w:rsidRPr="006F4E6F">
        <w:rPr>
          <w:rFonts w:ascii="Tahoma" w:hAnsi="Tahoma" w:cs="Tahoma"/>
          <w:b/>
          <w:sz w:val="16"/>
          <w:szCs w:val="16"/>
          <w:u w:val="single"/>
        </w:rPr>
        <w:t xml:space="preserve"> uplynutia 2.</w:t>
      </w:r>
      <w:r w:rsidR="00DE0416">
        <w:rPr>
          <w:rFonts w:ascii="Tahoma" w:hAnsi="Tahoma" w:cs="Tahoma"/>
          <w:b/>
          <w:sz w:val="16"/>
          <w:szCs w:val="16"/>
          <w:u w:val="single"/>
        </w:rPr>
        <w:t xml:space="preserve"> </w:t>
      </w:r>
      <w:r w:rsidR="000C33D0" w:rsidRPr="006F4E6F">
        <w:rPr>
          <w:rFonts w:ascii="Tahoma" w:hAnsi="Tahoma" w:cs="Tahoma"/>
          <w:b/>
          <w:sz w:val="16"/>
          <w:szCs w:val="16"/>
          <w:u w:val="single"/>
        </w:rPr>
        <w:t>februára</w:t>
      </w:r>
      <w:r w:rsidR="00667B14">
        <w:rPr>
          <w:rFonts w:ascii="Tahoma" w:hAnsi="Tahoma" w:cs="Tahoma"/>
          <w:b/>
          <w:sz w:val="16"/>
          <w:szCs w:val="16"/>
          <w:u w:val="single"/>
        </w:rPr>
        <w:t xml:space="preserve"> 2021</w:t>
      </w:r>
      <w:r w:rsidR="000C33D0">
        <w:rPr>
          <w:rFonts w:ascii="Tahoma" w:hAnsi="Tahoma" w:cs="Tahoma"/>
          <w:sz w:val="16"/>
          <w:szCs w:val="16"/>
        </w:rPr>
        <w:t xml:space="preserve">, </w:t>
      </w:r>
      <w:r w:rsidRPr="004C2B6A">
        <w:rPr>
          <w:rFonts w:ascii="Tahoma" w:hAnsi="Tahoma" w:cs="Tahoma"/>
          <w:sz w:val="16"/>
          <w:szCs w:val="16"/>
        </w:rPr>
        <w:t xml:space="preserve">z dôvodu ochrany života a zdravia všetkým zamestnávateľom, v pracoviskách a iných priestoroch zamestnávateľa </w:t>
      </w:r>
      <w:r w:rsidR="000C33D0">
        <w:rPr>
          <w:rFonts w:ascii="Tahoma" w:hAnsi="Tahoma" w:cs="Tahoma"/>
          <w:sz w:val="16"/>
          <w:szCs w:val="16"/>
        </w:rPr>
        <w:t xml:space="preserve">na území SR </w:t>
      </w:r>
      <w:r w:rsidRPr="004C2B6A">
        <w:rPr>
          <w:rFonts w:ascii="Tahoma" w:hAnsi="Tahoma" w:cs="Tahoma"/>
          <w:sz w:val="16"/>
          <w:szCs w:val="16"/>
        </w:rPr>
        <w:t xml:space="preserve"> nariaďuje zakázať vstup zamestnancom, okrem zamestnancov podľa § 2 ods. 2</w:t>
      </w:r>
      <w:r w:rsidR="000C33D0">
        <w:rPr>
          <w:rFonts w:ascii="Tahoma" w:hAnsi="Tahoma" w:cs="Tahoma"/>
          <w:sz w:val="16"/>
          <w:szCs w:val="16"/>
        </w:rPr>
        <w:t xml:space="preserve"> </w:t>
      </w:r>
      <w:r w:rsidR="00BF6A08">
        <w:rPr>
          <w:rFonts w:ascii="Tahoma" w:hAnsi="Tahoma" w:cs="Tahoma"/>
          <w:sz w:val="16"/>
          <w:szCs w:val="16"/>
        </w:rPr>
        <w:t>v</w:t>
      </w:r>
      <w:r w:rsidR="000C33D0">
        <w:rPr>
          <w:rFonts w:ascii="Tahoma" w:hAnsi="Tahoma" w:cs="Tahoma"/>
          <w:sz w:val="16"/>
          <w:szCs w:val="16"/>
        </w:rPr>
        <w:t>yhlášky</w:t>
      </w:r>
      <w:r w:rsidRPr="004C2B6A">
        <w:rPr>
          <w:rFonts w:ascii="Tahoma" w:hAnsi="Tahoma" w:cs="Tahoma"/>
          <w:sz w:val="16"/>
          <w:szCs w:val="16"/>
        </w:rPr>
        <w:t>, na tieto pracoviská a do iných priestorov zamestnávateľa</w:t>
      </w:r>
    </w:p>
    <w:p w:rsidR="000E0CBA" w:rsidRDefault="000E0CBA" w:rsidP="004D6584">
      <w:pPr>
        <w:rPr>
          <w:rFonts w:ascii="Tahoma" w:hAnsi="Tahoma" w:cs="Tahoma"/>
          <w:b/>
          <w:sz w:val="24"/>
          <w:szCs w:val="24"/>
        </w:rPr>
      </w:pPr>
    </w:p>
    <w:p w:rsidR="004D6584" w:rsidRPr="004A0630" w:rsidRDefault="004D6584" w:rsidP="004D6584">
      <w:pPr>
        <w:rPr>
          <w:rFonts w:ascii="Tahoma" w:hAnsi="Tahoma" w:cs="Tahoma"/>
          <w:b/>
          <w:sz w:val="24"/>
          <w:szCs w:val="24"/>
        </w:rPr>
      </w:pPr>
      <w:r w:rsidRPr="004A0630">
        <w:rPr>
          <w:rFonts w:ascii="Tahoma" w:hAnsi="Tahoma" w:cs="Tahoma"/>
          <w:b/>
          <w:sz w:val="24"/>
          <w:szCs w:val="24"/>
        </w:rPr>
        <w:t>Zákaz sa nevzťahuje na:</w:t>
      </w:r>
    </w:p>
    <w:p w:rsidR="000C33D0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 xml:space="preserve">a) </w:t>
      </w:r>
      <w:r w:rsidRPr="000E0CBA">
        <w:rPr>
          <w:rFonts w:ascii="Tahoma" w:hAnsi="Tahoma" w:cs="Tahoma"/>
          <w:b/>
          <w:sz w:val="16"/>
          <w:szCs w:val="16"/>
        </w:rPr>
        <w:t>osobu, ktorá sa preukáže potvrdením o negatívnom výsledku RT-PCR testu alebo potvrdením o negatívnom výsledku antigénového testu certifikovaného na území Európskej únie na ochorenie COVID-19 vykonaného v období od 18. januára</w:t>
      </w:r>
      <w:r w:rsidRPr="000C33D0">
        <w:rPr>
          <w:rFonts w:ascii="Tahoma" w:hAnsi="Tahoma" w:cs="Tahoma"/>
          <w:sz w:val="16"/>
          <w:szCs w:val="16"/>
        </w:rPr>
        <w:t>,</w:t>
      </w:r>
    </w:p>
    <w:p w:rsidR="000C33D0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 xml:space="preserve">b) osobu, ktorá prekonala ochorenie COVID-19 a má o jeho prekonaní doklad nie starší ako tri mesiace, </w:t>
      </w:r>
    </w:p>
    <w:p w:rsidR="000C33D0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>c) osobu, ktorá sa preukáže, že jej bolo diagnostikované ochorenie COVID-19 v období od 2. novembra 2020 do 17. januára 2021,</w:t>
      </w:r>
    </w:p>
    <w:p w:rsidR="000C33D0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 xml:space="preserve">d) osobu zaočkovanú proti ochoreniu COVD-19 aj druhou dávkou vakcíny a od tohto očkovania uplynulo aspoň 14 dní, </w:t>
      </w:r>
    </w:p>
    <w:p w:rsidR="000C33D0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>e) dieťa do desiatich rokov veku,</w:t>
      </w:r>
    </w:p>
    <w:p w:rsidR="000C33D0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 xml:space="preserve">f) osobu, ktorej zdravotný stav alebo zdravotná kontraindikácia neumožňuje vykonanie testu na ochorenie COVID-19, </w:t>
      </w:r>
    </w:p>
    <w:p w:rsidR="000C33D0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 xml:space="preserve">g) osobu, ktorej bolo diagnostikované stredne ťažké alebo ťažké mentálne postihnutie, </w:t>
      </w:r>
    </w:p>
    <w:p w:rsidR="006F4E6F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 xml:space="preserve">h) osobu </w:t>
      </w:r>
      <w:proofErr w:type="spellStart"/>
      <w:r w:rsidRPr="000C33D0">
        <w:rPr>
          <w:rFonts w:ascii="Tahoma" w:hAnsi="Tahoma" w:cs="Tahoma"/>
          <w:sz w:val="16"/>
          <w:szCs w:val="16"/>
        </w:rPr>
        <w:t>dispenzarizovanú</w:t>
      </w:r>
      <w:proofErr w:type="spellEnd"/>
      <w:r w:rsidRPr="000C33D0">
        <w:rPr>
          <w:rFonts w:ascii="Tahoma" w:hAnsi="Tahoma" w:cs="Tahoma"/>
          <w:sz w:val="16"/>
          <w:szCs w:val="16"/>
        </w:rPr>
        <w:t xml:space="preserve"> so závažnou poruchou </w:t>
      </w:r>
      <w:proofErr w:type="spellStart"/>
      <w:r w:rsidRPr="000C33D0">
        <w:rPr>
          <w:rFonts w:ascii="Tahoma" w:hAnsi="Tahoma" w:cs="Tahoma"/>
          <w:sz w:val="16"/>
          <w:szCs w:val="16"/>
        </w:rPr>
        <w:t>autistického</w:t>
      </w:r>
      <w:proofErr w:type="spellEnd"/>
      <w:r w:rsidRPr="000C33D0">
        <w:rPr>
          <w:rFonts w:ascii="Tahoma" w:hAnsi="Tahoma" w:cs="Tahoma"/>
          <w:sz w:val="16"/>
          <w:szCs w:val="16"/>
        </w:rPr>
        <w:t xml:space="preserve"> spektra, </w:t>
      </w:r>
    </w:p>
    <w:p w:rsidR="006F4E6F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 xml:space="preserve">i) osobu </w:t>
      </w:r>
      <w:proofErr w:type="spellStart"/>
      <w:r w:rsidRPr="000C33D0">
        <w:rPr>
          <w:rFonts w:ascii="Tahoma" w:hAnsi="Tahoma" w:cs="Tahoma"/>
          <w:sz w:val="16"/>
          <w:szCs w:val="16"/>
        </w:rPr>
        <w:t>dispenzarizovanú</w:t>
      </w:r>
      <w:proofErr w:type="spellEnd"/>
      <w:r w:rsidRPr="000C33D0">
        <w:rPr>
          <w:rFonts w:ascii="Tahoma" w:hAnsi="Tahoma" w:cs="Tahoma"/>
          <w:sz w:val="16"/>
          <w:szCs w:val="16"/>
        </w:rPr>
        <w:t xml:space="preserve"> pre ťažký, vrodený alebo získaný </w:t>
      </w:r>
      <w:proofErr w:type="spellStart"/>
      <w:r w:rsidRPr="000C33D0">
        <w:rPr>
          <w:rFonts w:ascii="Tahoma" w:hAnsi="Tahoma" w:cs="Tahoma"/>
          <w:sz w:val="16"/>
          <w:szCs w:val="16"/>
        </w:rPr>
        <w:t>imunodeficit</w:t>
      </w:r>
      <w:proofErr w:type="spellEnd"/>
      <w:r w:rsidRPr="000C33D0">
        <w:rPr>
          <w:rFonts w:ascii="Tahoma" w:hAnsi="Tahoma" w:cs="Tahoma"/>
          <w:sz w:val="16"/>
          <w:szCs w:val="16"/>
        </w:rPr>
        <w:t xml:space="preserve">, </w:t>
      </w:r>
    </w:p>
    <w:p w:rsidR="006F4E6F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 xml:space="preserve">j) onkologických pacientov po chemoterapii alebo transplantácii, ktorí majú </w:t>
      </w:r>
      <w:proofErr w:type="spellStart"/>
      <w:r w:rsidRPr="000C33D0">
        <w:rPr>
          <w:rFonts w:ascii="Tahoma" w:hAnsi="Tahoma" w:cs="Tahoma"/>
          <w:sz w:val="16"/>
          <w:szCs w:val="16"/>
        </w:rPr>
        <w:t>leukopéniu</w:t>
      </w:r>
      <w:proofErr w:type="spellEnd"/>
      <w:r w:rsidRPr="000C33D0">
        <w:rPr>
          <w:rFonts w:ascii="Tahoma" w:hAnsi="Tahoma" w:cs="Tahoma"/>
          <w:sz w:val="16"/>
          <w:szCs w:val="16"/>
        </w:rPr>
        <w:t xml:space="preserve"> alebo osoby s onkologickou liečbou alebo inou liečbou ovplyvňujúcou imunitný systém (napr. biologickou liečbou) z dôvodu rizika z omeškania pravidelného podania liečby, rádioterapie alebo inej plánovanej liečby napr. onkológom, hematológom alebo rádiológom plánovanej liečby, </w:t>
      </w:r>
    </w:p>
    <w:p w:rsidR="000C33D0" w:rsidRPr="000C33D0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  <w:r w:rsidRPr="000C33D0">
        <w:rPr>
          <w:rFonts w:ascii="Tahoma" w:hAnsi="Tahoma" w:cs="Tahoma"/>
          <w:sz w:val="16"/>
          <w:szCs w:val="16"/>
        </w:rPr>
        <w:t>k) osobu, ktorá bola počas dní 18. januára 2021 až 26. januára 2021 v izolácií v domácom prostredí alebo karanténnom ubytovacom zariadení alebo bola uznaná za dočasne práceneschopnú z dôvodu karantény svojím všeobecným lekárom pre dospelých alebo všeobecným lekárom pre deti a dorast a nemusela sa podrobiť testu na ochorenie COVID-19.</w:t>
      </w:r>
    </w:p>
    <w:p w:rsidR="000C33D0" w:rsidRDefault="000C33D0" w:rsidP="004C2B6A">
      <w:pPr>
        <w:pStyle w:val="Bezriadkovania"/>
        <w:rPr>
          <w:rFonts w:ascii="Tahoma" w:hAnsi="Tahoma" w:cs="Tahoma"/>
          <w:sz w:val="16"/>
          <w:szCs w:val="16"/>
        </w:rPr>
      </w:pPr>
    </w:p>
    <w:p w:rsidR="00FC5368" w:rsidRPr="000C33D0" w:rsidRDefault="00FC5368" w:rsidP="004C2B6A">
      <w:pPr>
        <w:pStyle w:val="Bezriadkovania"/>
        <w:rPr>
          <w:rFonts w:ascii="Tahoma" w:hAnsi="Tahoma" w:cs="Tahoma"/>
          <w:sz w:val="16"/>
          <w:szCs w:val="16"/>
        </w:rPr>
      </w:pPr>
    </w:p>
    <w:p w:rsidR="004D6584" w:rsidRPr="004C2B6A" w:rsidRDefault="004D6584" w:rsidP="000E0CBA">
      <w:pPr>
        <w:pStyle w:val="Bezriadkovania"/>
        <w:tabs>
          <w:tab w:val="left" w:pos="897"/>
        </w:tabs>
        <w:rPr>
          <w:rFonts w:ascii="Tahoma" w:hAnsi="Tahoma" w:cs="Tahoma"/>
          <w:b/>
          <w:sz w:val="16"/>
          <w:szCs w:val="16"/>
        </w:rPr>
      </w:pPr>
      <w:r w:rsidRPr="004C2B6A">
        <w:rPr>
          <w:rFonts w:ascii="Tahoma" w:hAnsi="Tahoma" w:cs="Tahoma"/>
          <w:b/>
          <w:sz w:val="16"/>
          <w:szCs w:val="16"/>
        </w:rPr>
        <w:t>Za účelom overenia, že sa na zamestnanca nevzťahuje zákaz vstupu podľa § 2 ods. 1</w:t>
      </w:r>
      <w:r w:rsidR="00E140BE">
        <w:rPr>
          <w:rFonts w:ascii="Tahoma" w:hAnsi="Tahoma" w:cs="Tahoma"/>
          <w:b/>
          <w:sz w:val="16"/>
          <w:szCs w:val="16"/>
        </w:rPr>
        <w:t xml:space="preserve"> vyhlášky</w:t>
      </w:r>
      <w:r w:rsidRPr="004C2B6A">
        <w:rPr>
          <w:rFonts w:ascii="Tahoma" w:hAnsi="Tahoma" w:cs="Tahoma"/>
          <w:b/>
          <w:sz w:val="16"/>
          <w:szCs w:val="16"/>
        </w:rPr>
        <w:t xml:space="preserve"> je zamestnávateľ oprávnený požadovať od zamestnanca vstupujúceho na pracovisko alebo do iných priestorov zamestnávateľa predloženie príslušného dokladu, ktorý preukazuje niektorú zo skutočností podľa § 2 ods. 2</w:t>
      </w:r>
      <w:r w:rsidR="006F4E6F">
        <w:rPr>
          <w:rFonts w:ascii="Tahoma" w:hAnsi="Tahoma" w:cs="Tahoma"/>
          <w:b/>
          <w:sz w:val="16"/>
          <w:szCs w:val="16"/>
        </w:rPr>
        <w:t xml:space="preserve"> vyhlášky</w:t>
      </w:r>
      <w:r w:rsidRPr="004C2B6A">
        <w:rPr>
          <w:rFonts w:ascii="Tahoma" w:hAnsi="Tahoma" w:cs="Tahoma"/>
          <w:b/>
          <w:sz w:val="16"/>
          <w:szCs w:val="16"/>
        </w:rPr>
        <w:t>; do tohto dokladu je zamestnávateľ oprávnený nahliadnuť.</w:t>
      </w:r>
    </w:p>
    <w:p w:rsidR="004D6584" w:rsidRPr="004C2B6A" w:rsidRDefault="004D6584" w:rsidP="004D65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6F4E6F" w:rsidRPr="006F4E6F" w:rsidRDefault="006F4E6F" w:rsidP="004D65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F4E6F">
        <w:rPr>
          <w:rFonts w:ascii="Tahoma" w:hAnsi="Tahoma" w:cs="Tahoma"/>
          <w:sz w:val="16"/>
          <w:szCs w:val="16"/>
        </w:rPr>
        <w:t>Predloženie dokladu podľa § 2 ods. 3</w:t>
      </w:r>
      <w:r w:rsidR="00E140BE">
        <w:rPr>
          <w:rFonts w:ascii="Tahoma" w:hAnsi="Tahoma" w:cs="Tahoma"/>
          <w:sz w:val="16"/>
          <w:szCs w:val="16"/>
        </w:rPr>
        <w:t xml:space="preserve"> vyhlášky</w:t>
      </w:r>
      <w:r w:rsidRPr="006F4E6F">
        <w:rPr>
          <w:rFonts w:ascii="Tahoma" w:hAnsi="Tahoma" w:cs="Tahoma"/>
          <w:sz w:val="16"/>
          <w:szCs w:val="16"/>
        </w:rPr>
        <w:t xml:space="preserve"> možno nahradiť v prípadoch podľa § 2 ods. 2 písm. b), c), f) až k) </w:t>
      </w:r>
      <w:r w:rsidR="00E140BE">
        <w:rPr>
          <w:rFonts w:ascii="Tahoma" w:hAnsi="Tahoma" w:cs="Tahoma"/>
          <w:sz w:val="16"/>
          <w:szCs w:val="16"/>
        </w:rPr>
        <w:t xml:space="preserve">vyhlášky </w:t>
      </w:r>
      <w:r w:rsidRPr="006F4E6F">
        <w:rPr>
          <w:rFonts w:ascii="Tahoma" w:hAnsi="Tahoma" w:cs="Tahoma"/>
          <w:sz w:val="16"/>
          <w:szCs w:val="16"/>
        </w:rPr>
        <w:t>potvrdením o výnimke podľa prílohy alebo potvrdením o výnimke podľa obdobnej prílohy vyhlášky Úradu verejného zdravotníctva Slovenskej republiky, vystavenú poskytovateľom zdravotnej starostlivosti, ktorý poskytuje zdravotnú starostlivosť v špecializačnom odbore všeobecné lekárstvo, a s ktorým má zamestnanec uzatvorenú dohodu o poskytovaní zdravotnej starostlivosti; v prípade dieťaťa poskytovateľom zdravotnej starostlivosti, ktorý poskytuje zdravotnú starostlivosť v špecializačnom odbore pediatria.</w:t>
      </w:r>
    </w:p>
    <w:p w:rsidR="006F4E6F" w:rsidRPr="006F4E6F" w:rsidRDefault="006F4E6F" w:rsidP="004D65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4D6584" w:rsidRPr="006F4E6F" w:rsidRDefault="006F4E6F" w:rsidP="004D65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F4E6F">
        <w:rPr>
          <w:rFonts w:ascii="Tahoma" w:hAnsi="Tahoma" w:cs="Tahoma"/>
          <w:sz w:val="16"/>
          <w:szCs w:val="16"/>
        </w:rPr>
        <w:t>Ak to nie je inak možné, predloženie potvrdenia o výnimke podľa § 2 ods. 4</w:t>
      </w:r>
      <w:r w:rsidR="00E140BE">
        <w:rPr>
          <w:rFonts w:ascii="Tahoma" w:hAnsi="Tahoma" w:cs="Tahoma"/>
          <w:sz w:val="16"/>
          <w:szCs w:val="16"/>
        </w:rPr>
        <w:t xml:space="preserve"> vyhlášky</w:t>
      </w:r>
      <w:r w:rsidRPr="006F4E6F">
        <w:rPr>
          <w:rFonts w:ascii="Tahoma" w:hAnsi="Tahoma" w:cs="Tahoma"/>
          <w:sz w:val="16"/>
          <w:szCs w:val="16"/>
        </w:rPr>
        <w:t xml:space="preserve"> možno nahradiť v prípadoch podľa § 2 ods. 2 písm. f) až j) </w:t>
      </w:r>
      <w:r w:rsidR="00E140BE">
        <w:rPr>
          <w:rFonts w:ascii="Tahoma" w:hAnsi="Tahoma" w:cs="Tahoma"/>
          <w:sz w:val="16"/>
          <w:szCs w:val="16"/>
        </w:rPr>
        <w:t xml:space="preserve">vyhlášky </w:t>
      </w:r>
      <w:r w:rsidRPr="006F4E6F">
        <w:rPr>
          <w:rFonts w:ascii="Tahoma" w:hAnsi="Tahoma" w:cs="Tahoma"/>
          <w:sz w:val="16"/>
          <w:szCs w:val="16"/>
        </w:rPr>
        <w:t>písomným čestným vyhlásením tejto osoby alebo jej zákonného zástupcu o tom, že osoba, ktorej sa výnimka týka patrí do skupiny populácie, na ktoré sa vzťahuje výnimka z povinnosti preukazovať sa negatívnym antigénovým alebo RT-PCR testom, v ktorom bude zároveň uvedené, že osoba predkladajúca čestné vyhlásenie si je vedomá právnych následkov, v prípade, že by sa jej čestné vyhlásenie ukázalo ako nepravdivé.</w:t>
      </w:r>
    </w:p>
    <w:p w:rsidR="006F4E6F" w:rsidRPr="006F4E6F" w:rsidRDefault="006F4E6F" w:rsidP="004D658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4D6584" w:rsidRPr="004C2B6A" w:rsidRDefault="006F4E6F" w:rsidP="002F077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F4E6F">
        <w:rPr>
          <w:rFonts w:ascii="Tahoma" w:hAnsi="Tahoma" w:cs="Tahoma"/>
          <w:sz w:val="16"/>
          <w:szCs w:val="16"/>
        </w:rPr>
        <w:t>V prípade, keď zamestnávateľ zakáže zamestnancovi vstup na pracovisko alebo do iných priestorov zamestnávateľa podľa § 2 ods. 1</w:t>
      </w:r>
      <w:r w:rsidR="00E140BE">
        <w:rPr>
          <w:rFonts w:ascii="Tahoma" w:hAnsi="Tahoma" w:cs="Tahoma"/>
          <w:sz w:val="16"/>
          <w:szCs w:val="16"/>
        </w:rPr>
        <w:t xml:space="preserve"> vyhlášky</w:t>
      </w:r>
      <w:r w:rsidRPr="006F4E6F">
        <w:rPr>
          <w:rFonts w:ascii="Tahoma" w:hAnsi="Tahoma" w:cs="Tahoma"/>
          <w:sz w:val="16"/>
          <w:szCs w:val="16"/>
        </w:rPr>
        <w:t>, pričom zamestnanec nevie preukázať, že spĺňa niektorú z výnimiek podľa § 2 ods. 2</w:t>
      </w:r>
      <w:r w:rsidR="00E140BE">
        <w:rPr>
          <w:rFonts w:ascii="Tahoma" w:hAnsi="Tahoma" w:cs="Tahoma"/>
          <w:sz w:val="16"/>
          <w:szCs w:val="16"/>
        </w:rPr>
        <w:t xml:space="preserve"> vyhlášky</w:t>
      </w:r>
      <w:r w:rsidRPr="006F4E6F">
        <w:rPr>
          <w:rFonts w:ascii="Tahoma" w:hAnsi="Tahoma" w:cs="Tahoma"/>
          <w:sz w:val="16"/>
          <w:szCs w:val="16"/>
        </w:rPr>
        <w:t xml:space="preserve">, je toto odopretie vstupu považované za odopretie vstupu z dôvodu, že zamestnanec nespĺňa požiadavky bezpečnosti a ochrany zdravia pri práci. </w:t>
      </w:r>
    </w:p>
    <w:p w:rsidR="00B94B0D" w:rsidRDefault="00B94B0D" w:rsidP="00B94B0D">
      <w:pPr>
        <w:rPr>
          <w:rFonts w:ascii="Tahoma" w:hAnsi="Tahoma" w:cs="Tahoma"/>
          <w:sz w:val="16"/>
          <w:szCs w:val="16"/>
        </w:rPr>
      </w:pPr>
    </w:p>
    <w:p w:rsidR="00B94B0D" w:rsidRPr="00B94B0D" w:rsidRDefault="00B94B0D" w:rsidP="00B94B0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Vyhláška dostupná na:  </w:t>
      </w:r>
      <w:r w:rsidRPr="00B94B0D">
        <w:rPr>
          <w:rFonts w:ascii="Tahoma" w:hAnsi="Tahoma" w:cs="Tahoma"/>
          <w:sz w:val="16"/>
          <w:szCs w:val="16"/>
        </w:rPr>
        <w:t>https://www.uvzsr.sk/docs/info/ut/ciastka_8_2021.pdf</w:t>
      </w:r>
    </w:p>
    <w:p w:rsidR="00B94B0D" w:rsidRPr="004C2B6A" w:rsidRDefault="00B94B0D" w:rsidP="00CA6350">
      <w:pPr>
        <w:jc w:val="both"/>
        <w:rPr>
          <w:rFonts w:ascii="Tahoma" w:hAnsi="Tahoma" w:cs="Tahoma"/>
          <w:sz w:val="16"/>
          <w:szCs w:val="16"/>
        </w:rPr>
      </w:pPr>
    </w:p>
    <w:p w:rsidR="004D6584" w:rsidRPr="004C2B6A" w:rsidRDefault="004D6584" w:rsidP="00CA6350">
      <w:pPr>
        <w:jc w:val="both"/>
        <w:rPr>
          <w:rFonts w:ascii="Tahoma" w:hAnsi="Tahoma" w:cs="Tahoma"/>
          <w:sz w:val="16"/>
          <w:szCs w:val="16"/>
        </w:rPr>
      </w:pPr>
    </w:p>
    <w:p w:rsidR="004D6584" w:rsidRPr="004C2B6A" w:rsidRDefault="004D6584" w:rsidP="00CA6350">
      <w:pPr>
        <w:jc w:val="both"/>
        <w:rPr>
          <w:rFonts w:ascii="Tahoma" w:hAnsi="Tahoma" w:cs="Tahoma"/>
          <w:sz w:val="16"/>
          <w:szCs w:val="16"/>
        </w:rPr>
      </w:pPr>
    </w:p>
    <w:p w:rsidR="004D6584" w:rsidRPr="004C2B6A" w:rsidRDefault="004D6584" w:rsidP="00CA6350">
      <w:pPr>
        <w:jc w:val="both"/>
        <w:rPr>
          <w:rFonts w:ascii="Tahoma" w:hAnsi="Tahoma" w:cs="Tahoma"/>
          <w:sz w:val="16"/>
          <w:szCs w:val="16"/>
        </w:rPr>
      </w:pPr>
    </w:p>
    <w:p w:rsidR="004D6584" w:rsidRDefault="004D6584" w:rsidP="004C2B6A">
      <w:pPr>
        <w:rPr>
          <w:rFonts w:ascii="Tahoma" w:hAnsi="Tahoma" w:cs="Tahoma"/>
          <w:sz w:val="16"/>
          <w:szCs w:val="16"/>
        </w:rPr>
      </w:pPr>
    </w:p>
    <w:p w:rsidR="004C2B6A" w:rsidRDefault="004C2B6A" w:rsidP="004C2B6A">
      <w:pPr>
        <w:rPr>
          <w:rFonts w:ascii="Tahoma" w:hAnsi="Tahoma" w:cs="Tahoma"/>
          <w:sz w:val="16"/>
          <w:szCs w:val="16"/>
        </w:rPr>
      </w:pPr>
    </w:p>
    <w:p w:rsidR="004C2B6A" w:rsidRDefault="00B94B0D" w:rsidP="00B94B0D">
      <w:pPr>
        <w:tabs>
          <w:tab w:val="left" w:pos="7037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4C2B6A" w:rsidRDefault="004C2B6A" w:rsidP="004C2B6A">
      <w:pPr>
        <w:rPr>
          <w:rFonts w:ascii="Tahoma" w:hAnsi="Tahoma" w:cs="Tahoma"/>
          <w:sz w:val="16"/>
          <w:szCs w:val="16"/>
        </w:rPr>
      </w:pPr>
    </w:p>
    <w:p w:rsidR="00DF5E94" w:rsidRPr="004C2B6A" w:rsidRDefault="00DF5E94" w:rsidP="0023097A">
      <w:pPr>
        <w:rPr>
          <w:rFonts w:ascii="Tahoma" w:hAnsi="Tahoma" w:cs="Tahoma"/>
          <w:b/>
          <w:color w:val="C00000"/>
          <w:sz w:val="16"/>
          <w:szCs w:val="16"/>
        </w:rPr>
      </w:pPr>
    </w:p>
    <w:sectPr w:rsidR="00DF5E94" w:rsidRPr="004C2B6A" w:rsidSect="00197B66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82" w:rsidRDefault="00690582" w:rsidP="005E4EB2">
      <w:pPr>
        <w:spacing w:after="0" w:line="240" w:lineRule="auto"/>
      </w:pPr>
      <w:r>
        <w:separator/>
      </w:r>
    </w:p>
  </w:endnote>
  <w:endnote w:type="continuationSeparator" w:id="0">
    <w:p w:rsidR="00690582" w:rsidRDefault="00690582" w:rsidP="005E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82" w:rsidRDefault="00690582" w:rsidP="005E4EB2">
      <w:pPr>
        <w:spacing w:after="0" w:line="240" w:lineRule="auto"/>
      </w:pPr>
      <w:r>
        <w:separator/>
      </w:r>
    </w:p>
  </w:footnote>
  <w:footnote w:type="continuationSeparator" w:id="0">
    <w:p w:rsidR="00690582" w:rsidRDefault="00690582" w:rsidP="005E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D1" w:rsidRDefault="008749D1" w:rsidP="005E4EB2">
    <w:pPr>
      <w:pStyle w:val="Hlavika"/>
      <w:ind w:firstLine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50"/>
    <w:rsid w:val="000C33D0"/>
    <w:rsid w:val="000E0CBA"/>
    <w:rsid w:val="000E2615"/>
    <w:rsid w:val="00197B66"/>
    <w:rsid w:val="00215F59"/>
    <w:rsid w:val="0023097A"/>
    <w:rsid w:val="002F077B"/>
    <w:rsid w:val="004A0630"/>
    <w:rsid w:val="004B3925"/>
    <w:rsid w:val="004C2B6A"/>
    <w:rsid w:val="004D6584"/>
    <w:rsid w:val="0055210C"/>
    <w:rsid w:val="005E4EB2"/>
    <w:rsid w:val="00667B14"/>
    <w:rsid w:val="00690582"/>
    <w:rsid w:val="006B42B2"/>
    <w:rsid w:val="006F4E6F"/>
    <w:rsid w:val="00754D2D"/>
    <w:rsid w:val="008749D1"/>
    <w:rsid w:val="00894A01"/>
    <w:rsid w:val="008B7CCC"/>
    <w:rsid w:val="00AD1C4D"/>
    <w:rsid w:val="00B649F5"/>
    <w:rsid w:val="00B94B0D"/>
    <w:rsid w:val="00BF6A08"/>
    <w:rsid w:val="00C3341F"/>
    <w:rsid w:val="00CA6350"/>
    <w:rsid w:val="00CD7F55"/>
    <w:rsid w:val="00CE40C4"/>
    <w:rsid w:val="00D00B32"/>
    <w:rsid w:val="00D14509"/>
    <w:rsid w:val="00DE0416"/>
    <w:rsid w:val="00DF5E94"/>
    <w:rsid w:val="00E109D7"/>
    <w:rsid w:val="00E140BE"/>
    <w:rsid w:val="00ED5C31"/>
    <w:rsid w:val="00F37D81"/>
    <w:rsid w:val="00F55181"/>
    <w:rsid w:val="00F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FDF89-018E-45FF-B046-FFEE20B7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9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35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E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E4EB2"/>
  </w:style>
  <w:style w:type="paragraph" w:styleId="Pta">
    <w:name w:val="footer"/>
    <w:basedOn w:val="Normlny"/>
    <w:link w:val="PtaChar"/>
    <w:uiPriority w:val="99"/>
    <w:semiHidden/>
    <w:unhideWhenUsed/>
    <w:rsid w:val="005E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E4EB2"/>
  </w:style>
  <w:style w:type="character" w:styleId="Hypertextovprepojenie">
    <w:name w:val="Hyperlink"/>
    <w:basedOn w:val="Predvolenpsmoodseku"/>
    <w:uiPriority w:val="99"/>
    <w:unhideWhenUsed/>
    <w:rsid w:val="00DF5E94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4D6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www.zdravotnydohlad.com</dc:creator>
  <cp:lastModifiedBy>Marek Vojtko</cp:lastModifiedBy>
  <cp:revision>2</cp:revision>
  <dcterms:created xsi:type="dcterms:W3CDTF">2021-01-26T14:07:00Z</dcterms:created>
  <dcterms:modified xsi:type="dcterms:W3CDTF">2021-01-26T14:07:00Z</dcterms:modified>
</cp:coreProperties>
</file>